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Mission Statement</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Urban transportation systems play a critical role in shaping how individuals access opportunities, services, and daily necessities, yet access to safe, efficient, and sustainable mobility remains unevenly distributed across cities. In Toronto, rapid urban growth, rising congestion, and increasing environmental pressures have intensified the need for transportation solutions that are not only efficient but also equitable and sustainable. Despite ongoing investments in public transit and active transportation infrastructure, significant disparities persist at the neighborhood level in terms of accessibility, safety, and infrastructure quality. These disparities can limit individuals’ ability to make informed, sustainable transportation choices and reinforce broader patterns of spatial inequality.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MoveGreen TO aims to address these challenges by providing a comprehensive, data-driven platform that evaluates and compares walking, cycling, and transit options across census tracts. The application measures transportation performance through three core dimensions: accessibility, safety, and infrastructure, to generate clear, standardized scores for each mode of travel. By translating complex spatial data into intuitive insights, the app empowers users to identify the most suitable and sustainable transportation options within their neighborhoods.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Beyond individual decision-making, MoveGreen TO serves as a tool for advancing more equitable and sustainable urban mobility. It highlights gaps in infrastructure and service provision, supports evidence-based planning, and encourages shifts toward lower-emission modes of transportation. In doing so, the app contributes to a broader vision of a city where all residents have the ability to move safely, efficiently, and sustainably, regardless of where they live.</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